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987"/>
        <w:gridCol w:w="5991"/>
        <w:gridCol w:w="2587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Eso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šā </w:t>
            </w:r>
            <w:r>
              <w:rPr>
                <w:rFonts w:ascii="Helvetica Neue" w:cs="Arial Unicode MS" w:hAnsi="Helvetica Neue" w:eastAsia="Arial Unicode MS"/>
                <w:rtl w:val="0"/>
              </w:rPr>
              <w:t>(2014.gada) LBF Stat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ū</w:t>
            </w:r>
            <w:r>
              <w:rPr>
                <w:rFonts w:ascii="Helvetica Neue" w:cs="Arial Unicode MS" w:hAnsi="Helvetica Neue" w:eastAsia="Arial Unicode MS"/>
                <w:rtl w:val="0"/>
              </w:rPr>
              <w:t>tu versija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Jaun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ā </w:t>
            </w:r>
            <w:r>
              <w:rPr>
                <w:rFonts w:ascii="Helvetica Neue" w:cs="Arial Unicode MS" w:hAnsi="Helvetica Neue" w:eastAsia="Arial Unicode MS"/>
                <w:rtl w:val="0"/>
              </w:rPr>
              <w:t>redakcija un labojumi</w:t>
            </w:r>
          </w:p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Koment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ā</w:t>
            </w:r>
            <w:r>
              <w:rPr>
                <w:rFonts w:ascii="Helvetica Neue" w:cs="Arial Unicode MS" w:hAnsi="Helvetica Neue" w:eastAsia="Arial Unicode MS"/>
                <w:rtl w:val="0"/>
              </w:rPr>
              <w:t>rs</w:t>
            </w:r>
          </w:p>
        </w:tc>
      </w:tr>
      <w:tr>
        <w:tblPrEx>
          <w:shd w:val="clear" w:color="auto" w:fill="auto"/>
        </w:tblPrEx>
        <w:trPr>
          <w:trHeight w:val="301" w:hRule="atLeast"/>
        </w:trPr>
        <w:tc>
          <w:tcPr>
            <w:tcW w:type="dxa" w:w="598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1.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noda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a. Biedr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bas nosaukums.</w:t>
            </w:r>
          </w:p>
        </w:tc>
        <w:tc>
          <w:tcPr>
            <w:tcW w:type="dxa" w:w="599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1.1.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bas nosaukums ir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Latvijas badmintona feder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cija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(turpm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 tekst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-Biedr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ba).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2.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noda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a. Biedr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bas m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ķ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i.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u w:color="000000"/>
                <w:rtl w:val="0"/>
              </w:rPr>
              <w:t xml:space="preserve">2.1.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u w:color="000000"/>
                <w:rtl w:val="0"/>
              </w:rPr>
              <w:t>Biedr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u w:color="000000"/>
                <w:rtl w:val="0"/>
              </w:rPr>
              <w:t>bas m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u w:color="000000"/>
                <w:rtl w:val="0"/>
              </w:rPr>
              <w:t>r</w:t>
            </w: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u w:color="000000"/>
                <w:rtl w:val="0"/>
              </w:rPr>
              <w:t>ķ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u w:color="000000"/>
                <w:rtl w:val="0"/>
              </w:rPr>
              <w:t>i ir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u w:color="000000"/>
                <w:rtl w:val="0"/>
              </w:rPr>
              <w:t>: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2.1.1.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Rad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 nepiecie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amos apst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us un organiz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 badmintona att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bu Latvij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2.1.2.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Propagand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 badmintonu, 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vesel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ga dz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vesveida sast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vda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u, veicin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 cilv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ku vispus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gu fizisko un gar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go att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bu;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2.1.3. Nodro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 Latvijas izla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 komandu un 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vju sekm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gu piedal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anos Olimpiskaj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sp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s, Pasaules un Eiropas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empion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tos un cit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starptautiskaj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sacens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2.1.4. Organiz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t Latvijas Republikas badmintona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empion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tu un meistarsac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u, 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ī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citu valsts sacens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bu sar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anu, aptverot visas Latvijas iedz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vot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ju grupas neatkar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gi no to sportisk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sagatavot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bas, vecuma, nacion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pieder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un politiskajiem uzskatiem;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2.1.5. Nodro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 badmintona noteikumu un citu ar badmintonu saist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tu metodisko materi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lu izplat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anu;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7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2.1.6. 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vien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gajai 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bu "Latvijas badmintona feder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cija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Latvijas Sporta Feder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ciju Padom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ē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(LSFP), Latvijas Olimpiskaj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komitej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(LOK), Pasaules badmintona feder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(BWF) un Eiropas badmintona savien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(BE), Baltijas badmintona asoci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un cit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organiz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vai asoci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2.1.7.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 sav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darb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iev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ro antidopinga konvekciju pras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3.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noda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a. Biedr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bas darb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bas termi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ņš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3.1.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 ir nodibin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ta uz nenoteiktu laiku.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 xml:space="preserve">4.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noda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a. Biedru iest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āš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an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s Biedr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b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, izst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āš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an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s un izsl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g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ana.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4.1.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var iest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ties sporta klubi un juridiskas personas, kuru darb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 ir saist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ta ar badmintona sporta veidu. 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4.2.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Lai iest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tos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nepiecie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ams iesniegt noteiktas formas rakstisku pieteikumu. Pieteikuma formu un tam kl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 pievienojamo dokumentu sarakstu nosaka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valde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6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4.3.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mumu par biedra uz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anu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pie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em valde. Valdei pieteic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ja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gums ir 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izskata tuv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des laik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, ta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 ne ilg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 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divu ned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 laik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no visu nepiecie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amo dokumentu sa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anas br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īž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a. Uz valdes 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di, kur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izskata pieteic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ja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gumu, ir 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uzaicina pats pieteic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js un 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dod vi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am 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rds sava viedok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 pau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anai. Pieteic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ja neiera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s nav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šķē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rslis valdes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muma pie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anai. Valdei motiv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ts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mums rakstveid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pazi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o pieteic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jam ned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as laik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no 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pie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anas br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īž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4.4. Valdes noraido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o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mumu pieteic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js rakstveid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var 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 biedru kopsapulcei. Ja ar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ī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biedru kopsapulce noraida pieteic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ja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gumu, pieteic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js nav uz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emts par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biedru, un vi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ņš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var iesniegt atk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rtotu pieteikumu ne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 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 gada termi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 izbeig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4.5. Biedrs var jebkur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laik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izst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ties no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rakstveid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pazi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ojot par to valdei;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4.6. Biedru var izsl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gt no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ar valdes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mumu, ja: 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4.6.1. biedrs vair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 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us 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ne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us nav nomaks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jis biedra naudu;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4.6.2. biedrs nepilda kopsapulces un valdes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mumus;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4.6.3. biedrs nepilda savus pien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kumu un uz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emt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saist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4.6.4. biedrs veic citu darb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bu, kas ir pretrun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ar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ajos stat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tos noteikto un kait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ē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norm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lam darbam.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4.7.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Jaut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jumu par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biedra izsl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anu valde izskata tuv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des laik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, uzaicinot izsl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dzamo biedru un dodot vi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am 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rdu sava viedok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 pau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anai. Izsl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dzam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biedra neiera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s nav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šķē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rslis valdes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muma pie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anai. Valdei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mums par biedra izsl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anu no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bas un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šā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muma motiv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cija 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pazi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o rakstveid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izsl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dzamajam biedram piecu dienu</w:t>
            </w:r>
            <w:r>
              <w:rPr>
                <w:rFonts w:ascii="Times New Roman" w:hAnsi="Times New Roman"/>
                <w:outline w:val="0"/>
                <w:color w:val="ff0000"/>
                <w:sz w:val="24"/>
                <w:szCs w:val="24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laik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no 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pie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anas br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īž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 xml:space="preserve">5.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noda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a. Biedru ties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bas un pien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kumi.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5.1.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bas biedriem ir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das ties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bas: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5.1.1.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piedal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ties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rvald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5.1.2.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sa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emt inform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ciju par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darb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bu, tai skait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iepaz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ties ar visu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instit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ciju protokoliem,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mumiem un 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kojumiem;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5.1.3.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piedal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ties vis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organiz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taj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sacens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un pas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kumos, iesniegt priek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likumus par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darb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bu un 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uzlabo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anu, aizst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 savu viedokli.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5.2.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biedru pien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kumi: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5.2.1.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iev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rot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stat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tus un pild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 biedru sapulces un valdes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mumus; 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5.2.3.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regul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ri maks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 biedra naudu;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5.2.4.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ar savu akt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vu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dzdarb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bu atbalst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ķ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 un uzdevumu realiz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anu;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38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5.2.5 </w:t>
            </w:r>
            <w:r>
              <w:rPr>
                <w:rFonts w:ascii="Times New Roman" w:hAnsi="Times New Roman"/>
                <w:sz w:val="22"/>
                <w:szCs w:val="22"/>
                <w:u w:color="000000"/>
                <w:rtl w:val="0"/>
              </w:rPr>
              <w:t>vispus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2"/>
                <w:szCs w:val="22"/>
                <w:u w:color="000000"/>
                <w:rtl w:val="0"/>
              </w:rPr>
              <w:t>gi att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2"/>
                <w:szCs w:val="22"/>
                <w:u w:color="000000"/>
                <w:rtl w:val="0"/>
              </w:rPr>
              <w:t>st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2"/>
                <w:szCs w:val="22"/>
                <w:u w:color="000000"/>
                <w:rtl w:val="0"/>
              </w:rPr>
              <w:t>t savu ekonomisko un finansi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2"/>
                <w:szCs w:val="22"/>
                <w:u w:color="000000"/>
                <w:rtl w:val="0"/>
              </w:rPr>
              <w:t>lo darb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2"/>
                <w:szCs w:val="22"/>
                <w:u w:color="000000"/>
                <w:rtl w:val="0"/>
              </w:rPr>
              <w:t>bu badmintona att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2"/>
                <w:szCs w:val="22"/>
                <w:u w:color="000000"/>
                <w:rtl w:val="0"/>
              </w:rPr>
              <w:t>st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rtl w:val="0"/>
              </w:rPr>
              <w:t>īš</w:t>
            </w:r>
            <w:r>
              <w:rPr>
                <w:rFonts w:ascii="Times New Roman" w:hAnsi="Times New Roman"/>
                <w:sz w:val="22"/>
                <w:szCs w:val="22"/>
                <w:u w:color="000000"/>
                <w:rtl w:val="0"/>
              </w:rPr>
              <w:t>anai Latvij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2"/>
                <w:szCs w:val="22"/>
                <w:u w:color="000000"/>
                <w:rtl w:val="0"/>
              </w:rPr>
              <w:t>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2"/>
                <w:szCs w:val="22"/>
                <w:u w:color="000000"/>
                <w:rtl w:val="0"/>
              </w:rPr>
              <w:t xml:space="preserve">5.2.6.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savlaic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gi (l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dz kalend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ra sast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anai) re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ģ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istr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savas 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kot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atkl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sacens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bas, lai iek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autu 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apvienotaj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sacens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bu kalend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un inform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 par piedal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anos cit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sacens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5.3.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Saist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biedram var noteikt ar biedru sapulces vai valdes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mumu. Nosakot biedram saist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bas, kas 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šķ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iras no citu biedru saist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m, ir nepiecie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ama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šā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biedra piekri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ana.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 xml:space="preserve">6.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noda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a. Biedr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bas strukt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rvien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bas.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6.2.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Ar biedru sapulces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mumu var tikt izveidotas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teritori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un citas strukt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rvien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6.3.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Strukt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rvien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darb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bu, ties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un pien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kumus, 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ī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attiec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ar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bu regul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ē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strukt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rvien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nolikums, ko apstiprina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biedru sapulce.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 xml:space="preserve">7.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noda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a. Biedru sapulces sasauk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ana un l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mumu pie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em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ana.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7.1.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Biedru sapulce ir augst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jinstit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cija.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7.2.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Biedru sapulc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ē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ir ties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gi piedal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ties visi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biedri. Biedri var piedal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ties biedru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sapulc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ē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tikai person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gi. 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7.3.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biedru sapulce tiek sasaukta vienu reizi gad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- ne 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 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dz 31.martam.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7.4.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rtas biedru sapulce var tikt sasaukta 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 valdes iniciat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vas, vai ja to rakstveid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pieprasa ne maz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 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viena desmit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da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biedru, nor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dot sasauk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anas iemeslu.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7.5.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Biedru sapulce tiek sasaukta, ne 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 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divas ned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as pirms sapulces nos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tot katram biedram rakstisku uzaicin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jumu. 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7.6.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Biedru sapulce ir lemtties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ga, ja taj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piedal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vair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 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puse no biedriem.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7.7.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Ja biedru sapulce nav lemtties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ga kvoruma tr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kuma 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, tr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ned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 laik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tiek sasaukta atk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rtota biedru sapulce, kas ir ties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ga pie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emt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mumus neatkar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gi no kl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teso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o biedru skaita, ar nosac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jumu, ka taj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piedal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vismaz divi biedri.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7.8.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Biedru sapulces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mums ir pie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emts, ja par to nobalso vair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 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puse no kl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teso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ajiem biedriem.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mums par stat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tu groz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jumiem,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darb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izbeig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anu un turpin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anu ir pie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emts, ja par to nobalso vair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 nek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divas tre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da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as no kl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teso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ajiem biedriem.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7.9.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mumu par izmai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 stat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tos, biedru naud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m, sp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ju licen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 maks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 var pie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emt tikai biedru sapulce.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 xml:space="preserve">8.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noda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a. Izpildinstit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cija.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8.1.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izpildinstit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cija ir valde, kas sast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 no pieciem valdes locek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iem, kuri ir iev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ti Biedru sapulc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ē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uz termi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u -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etri gadi.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8.2.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Valdes locek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 no sava vidus iev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 valdes priek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ju un vi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 vietnieku, kuri organiz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ē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valdes darbu.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8.3.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Valdes 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de ir lemtties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ga, ja taj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piedal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vair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 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vertAlign w:val="superscript"/>
                <w:rtl w:val="0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color="000000"/>
                <w:vertAlign w:val="subscript"/>
                <w:rtl w:val="0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 no 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locek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iem.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8.4.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Valdes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mums ir pie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emts, ja par to balso ne maz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 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u w:color="000000"/>
                <w:vertAlign w:val="superscript"/>
                <w:rtl w:val="0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color="000000"/>
                <w:vertAlign w:val="subscript"/>
                <w:rtl w:val="0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)+1 kl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teso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o, vien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da balsojuma gad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jum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šķ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iro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ais ir Valdes priek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ja (prezidenta) balsojums.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Valde ir ties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ga izlemt visus jaut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jumus, kas nav ekskluz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biedru sapulces kompetenc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: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8.5.1.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sasauc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pilnsapulci;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8.5.2.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lemj par treneru padomes, tiesne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 kol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ēģ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ijas, sporta tehnisk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komisijas nepiecie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bu, to izveidi un apstiprin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anu;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8.5.3.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iev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 komisiju vad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jus un apstiprina izlases trenerus;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8.5.4.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apstiprina komisiju priek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jus, darba pl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nus, komisiju nolikumus un programmas;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8.5.5.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apstiprina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ien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kumu un izdevumu 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mi un kontrol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ē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to izpildi;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8.5.6.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organiz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ē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un veic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biedru re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ģ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istr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ciju un uzskaiti;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8.5.7.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iev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rojot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finansi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iesp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jas, pie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em darb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algotos darbiniekus, nosaka vi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 darba algu un pien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kumus;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8.5.8.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iev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rojot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finansi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iesp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jas, nosaka pr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miju un stipendiju lielumus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biedriem;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8.5.9.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apstiprina Latvijas izlases dal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bniekus un to kandid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tu sarakstus, deleg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ciju sast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vus starptautiskiem semin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riem un sacens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8.5.10.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izskata un apstiprina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komisiju iesniegt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atskaites un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mumus;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8.5.11.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organiz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ē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inform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cijas un atrib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tikas izgatavo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anu un realiz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ciju;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8.5.12.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apstiprina badmintona sacens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bu kalend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ru,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koto sacens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bu nolikumus, nosl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gtos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gumus un citus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darba dokumentus;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8.5.13.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izskata un apstiprina Latvijas sporta kvalifik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cijas pras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sportistiem, treneriem, tiesne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iem;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8.5.14.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apstiprina Latvijas badmintonistu reitingu;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8.5.15.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organiz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ē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treneru un tiesne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 sagatavo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anu un to kvalifik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cijas paaugstin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anu;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8.5.16.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rrauga un izskata konkr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tus jaut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jumus par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bas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pa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eso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šā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badmintona invent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ra lieto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anu;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8.5.17.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šķ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ir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biedru str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dus jaut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jumus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kompetences robe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žā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8.5.18.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konkr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tu jaut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jumu risin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ana var tikt uztic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ta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prezidentam, viceprezidentam vai 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dam valdes loceklim;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8.5.19.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izstr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un nosaka sp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ju licenc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anas un 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rejas meh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nismu no viena kluba uz citu (tai skait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 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rzemju klubi);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8.5.20.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apstiprina sp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ju 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reju no viena kluba uz citu (tai skait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 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rzemju klubi), izsaka savus priek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likumus par iesp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jamo kompens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ciju izmaksu klubam, ja klubs to pieprasa;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8.5.21.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atbild par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lietved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bu;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8.5.22.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izskata un apstiprina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treneru padomes, tiesne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 kol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ēģ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ijas un citu komisiju iesniegt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atskaites un citus dokumentus;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8.5.23.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nepiecie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gad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jum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sasauc valdes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rtas sapulci;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8.5.24.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akcept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ē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(paraksta) vai nodod atk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rtotai izskat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anai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pilnsapulces vai valdes izstr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tos dokumentus.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8.6.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Valdes priek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js (prezidents) un vi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 vietnieks (viceprezidents) ir ties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gi 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bu katrs atsevi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šķ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i, bet valdes loceklis ir ties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gs 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bu kop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gi ar 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l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etriem valdes locek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iem, kuri nav priek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js (prezidents) vai vi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a vietnieks (viceprezidents). 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8.7.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Valdes locek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 pilda savus pien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kumus ar vai bez atl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8.8.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mumu par atl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noteik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anu Valdes locek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iem, 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apm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ru un izmaksas 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bu pie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em ar biedru sapulces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mumu.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9.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noda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a. Revidents.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9.1.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finansi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un saimniecisk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darb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kontroli veic revidents, kuru iev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 biedru sapulce uz vienu gadu.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9.2.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revidents nevar 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valdes loceklis.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9.3.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Revidents: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9.3.1.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veic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mantas un finan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dzek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 rev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ziju; 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9.3.2.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dod atzinumu par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bud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etu un gada 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rskatu;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9.3.3.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izv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ē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gr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matved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un lietved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darbu;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9.3.4.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sniedz ieteikumus par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finan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 un saimniecisk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darb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uzlabo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anu;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9.4.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Revidents veic rev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ziju biedru sapulces noteiktajos termi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os, ta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 ne ret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 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reizi gad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9.5.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Biedru sapulce apstiprina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gada 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rskatu tikai 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 Revidenta atzinuma sa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anas.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10.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noda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a. Biedru nauda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10.1.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biedri maks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biedru naudu vienu reizi gad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10.2.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Biedru naudas apm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ru nosaka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valde un apstiprina biedru sapulce.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 xml:space="preserve">11.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noda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a. Saimniecisk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darb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ba un finanses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11.1.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bai ir savi naudas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dzek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 un materi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11.2.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bud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etu veido: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11.2.1.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valsts bud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eta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dzek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i, kas uz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guma pamata tiek nodoti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11.2.2.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biedru maksas;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11.2.3.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ju licen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u maksas (licences);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11.2.4.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ien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kumi no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kotajiem pas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kumiem;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11.2.5.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ien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kumi no sporta invent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ra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res, atrib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tikas un da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žā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du materi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lu 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rdo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anas un iz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anas;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11.2.6.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valsts un sabiedrisko organiz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ciju, firmu un priv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tpersonu ziedojumi.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11.2.7.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atl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 par izdar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tajiem pakalpojumiem un citi likum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gi ien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kumi.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11.3.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iniciat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vas un saimniecisk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 darb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rezult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ieg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tie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dzek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 tiek izmantoti saska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ņā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ar valdes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mumu: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11.3.1.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ajos stat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tos paredz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tajiem 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ķ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iem un uzdevumiem badmintona att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bai Latvij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11.3.2.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darbinieku algo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anai;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11.3.3.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citu izdevumu seg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anai, kas saist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ti ar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darba nodro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anu. 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11.4.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Pirm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paraksta ties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uz finansu dokumentiem ir Valdes priek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jam (prezidentam), otr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paraksta ties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ir Valdes priek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ja vietniekam (viceprezidentam).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 xml:space="preserve">12.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noda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a. Darb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bas p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rtrauk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</w:rPr>
              <w:t>ana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12.1.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darb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bu var 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rtraukt ar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biedru sapulces 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mumu, ja par to nobalsoju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 vair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 nek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divas tre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da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as no kl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teso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ajiem biedriem.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12.2.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darb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rtrauk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ana tiek veikta likum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paredz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taj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97" w:hRule="atLeast"/>
        </w:trPr>
        <w:tc>
          <w:tcPr>
            <w:tcW w:type="dxa" w:w="59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jc w:val="left"/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12.3.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Par Biedr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darb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bas p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rtrauk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anu likumos noteiktajos termi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os tiek pazi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ots attiec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gaj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 valsts re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ģ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istru iest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ē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m.</w:t>
            </w:r>
          </w:p>
        </w:tc>
        <w:tc>
          <w:tcPr>
            <w:tcW w:type="dxa" w:w="5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